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42652" w14:textId="4D94EBB6" w:rsidR="00042F2E" w:rsidRPr="007112DE" w:rsidRDefault="007112DE">
      <w:pPr>
        <w:rPr>
          <w:rFonts w:ascii="Times New Roman" w:hAnsi="Times New Roman" w:cs="Times New Roman"/>
          <w:b/>
          <w:bCs/>
        </w:rPr>
      </w:pPr>
      <w:r w:rsidRPr="007112DE">
        <w:rPr>
          <w:rFonts w:ascii="Times New Roman" w:hAnsi="Times New Roman" w:cs="Times New Roman"/>
          <w:b/>
          <w:bCs/>
        </w:rPr>
        <w:t>David Carr: Phenomenology as Critical Method: Experience and Practice</w:t>
      </w:r>
    </w:p>
    <w:p w14:paraId="6523822D" w14:textId="1E45E91E" w:rsidR="007112DE" w:rsidRPr="007112DE" w:rsidRDefault="007112DE">
      <w:pPr>
        <w:rPr>
          <w:rFonts w:ascii="Times New Roman" w:hAnsi="Times New Roman" w:cs="Times New Roman"/>
          <w:b/>
          <w:bCs/>
        </w:rPr>
      </w:pPr>
    </w:p>
    <w:p w14:paraId="7B0CE588" w14:textId="38CE971B" w:rsidR="007112DE" w:rsidRDefault="007112DE">
      <w:pPr>
        <w:rPr>
          <w:rFonts w:ascii="Times New Roman" w:hAnsi="Times New Roman" w:cs="Times New Roman"/>
        </w:rPr>
      </w:pPr>
    </w:p>
    <w:p w14:paraId="6887B4A8" w14:textId="2B4A0AC4" w:rsidR="007112DE" w:rsidRDefault="007112DE">
      <w:pPr>
        <w:rPr>
          <w:rFonts w:ascii="Times New Roman" w:hAnsi="Times New Roman" w:cs="Times New Roman"/>
          <w:b/>
          <w:bCs/>
        </w:rPr>
      </w:pPr>
      <w:r w:rsidRPr="007112DE">
        <w:rPr>
          <w:rFonts w:ascii="Times New Roman" w:hAnsi="Times New Roman" w:cs="Times New Roman"/>
          <w:b/>
          <w:bCs/>
        </w:rPr>
        <w:t>HANDOUT FOR PRESENTATION: OCT. 9, 2020</w:t>
      </w:r>
    </w:p>
    <w:p w14:paraId="528BDB57" w14:textId="5A6A8626" w:rsidR="007112DE" w:rsidRDefault="007112DE">
      <w:pPr>
        <w:rPr>
          <w:rFonts w:ascii="Times New Roman" w:hAnsi="Times New Roman" w:cs="Times New Roman"/>
          <w:b/>
          <w:bCs/>
        </w:rPr>
      </w:pPr>
    </w:p>
    <w:p w14:paraId="43A94F13" w14:textId="514B5BA0" w:rsidR="007112DE" w:rsidRDefault="007112DE">
      <w:pPr>
        <w:rPr>
          <w:rFonts w:ascii="Times New Roman" w:hAnsi="Times New Roman" w:cs="Times New Roman"/>
          <w:b/>
          <w:bCs/>
        </w:rPr>
      </w:pPr>
    </w:p>
    <w:p w14:paraId="5306ED27" w14:textId="4BC4DDD0" w:rsidR="007112DE" w:rsidRDefault="007112DE">
      <w:pPr>
        <w:rPr>
          <w:rFonts w:ascii="Times New Roman" w:hAnsi="Times New Roman" w:cs="Times New Roman"/>
          <w:b/>
          <w:bCs/>
        </w:rPr>
      </w:pPr>
    </w:p>
    <w:p w14:paraId="5A7E5CF0" w14:textId="4BED07D8" w:rsidR="007112DE" w:rsidRDefault="003F5D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="007112DE">
        <w:rPr>
          <w:rFonts w:ascii="Times New Roman" w:hAnsi="Times New Roman" w:cs="Times New Roman"/>
          <w:b/>
          <w:bCs/>
        </w:rPr>
        <w:t>Introduction:</w:t>
      </w:r>
    </w:p>
    <w:p w14:paraId="25FCC4A4" w14:textId="6D1083D1" w:rsidR="007112DE" w:rsidRDefault="007112DE">
      <w:pPr>
        <w:rPr>
          <w:rFonts w:ascii="Times New Roman" w:hAnsi="Times New Roman" w:cs="Times New Roman"/>
        </w:rPr>
      </w:pPr>
    </w:p>
    <w:p w14:paraId="2D9DEAA1" w14:textId="5CA0F0F8" w:rsidR="007112DE" w:rsidRDefault="007112DE" w:rsidP="007112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Phenomenology as method, not metaphysics or epistemology</w:t>
      </w:r>
    </w:p>
    <w:p w14:paraId="254952BB" w14:textId="385528F0" w:rsidR="007112DE" w:rsidRDefault="007112DE" w:rsidP="007112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 paper is drawn primarily, but not exclusively, from Husserl</w:t>
      </w:r>
    </w:p>
    <w:p w14:paraId="36105BCD" w14:textId="21E513AA" w:rsidR="007112DE" w:rsidRDefault="007112DE" w:rsidP="007112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Phenomenology is a </w:t>
      </w:r>
      <w:r>
        <w:rPr>
          <w:rFonts w:ascii="Times New Roman" w:hAnsi="Times New Roman" w:cs="Times New Roman"/>
          <w:i/>
          <w:iCs/>
        </w:rPr>
        <w:t xml:space="preserve">critical </w:t>
      </w:r>
      <w:r>
        <w:rPr>
          <w:rFonts w:ascii="Times New Roman" w:hAnsi="Times New Roman" w:cs="Times New Roman"/>
        </w:rPr>
        <w:t>method; the importance of Kant</w:t>
      </w:r>
    </w:p>
    <w:p w14:paraId="33F6E7EE" w14:textId="77777777" w:rsidR="00FF26F7" w:rsidRDefault="00FF26F7" w:rsidP="00FF26F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Critique of experience and critique of practice</w:t>
      </w:r>
    </w:p>
    <w:p w14:paraId="0334FF7E" w14:textId="77777777" w:rsidR="00FF26F7" w:rsidRDefault="00FF26F7" w:rsidP="00FF26F7">
      <w:pPr>
        <w:pStyle w:val="ListParagraph"/>
        <w:rPr>
          <w:rFonts w:ascii="Times New Roman" w:hAnsi="Times New Roman" w:cs="Times New Roman"/>
        </w:rPr>
      </w:pPr>
    </w:p>
    <w:p w14:paraId="7EE32F27" w14:textId="77777777" w:rsidR="00FF26F7" w:rsidRDefault="00FF26F7" w:rsidP="00FF26F7">
      <w:pPr>
        <w:pStyle w:val="ListParagraph"/>
        <w:rPr>
          <w:rFonts w:ascii="Times New Roman" w:hAnsi="Times New Roman" w:cs="Times New Roman"/>
        </w:rPr>
      </w:pPr>
    </w:p>
    <w:p w14:paraId="6279A6E0" w14:textId="7C3C89AD" w:rsidR="00FF26F7" w:rsidRDefault="00FF26F7" w:rsidP="00FF26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Husserl and the Phenomenological Method</w:t>
      </w:r>
    </w:p>
    <w:p w14:paraId="397A9FEB" w14:textId="450858C9" w:rsidR="00FF26F7" w:rsidRDefault="00FF26F7" w:rsidP="00FF26F7">
      <w:pPr>
        <w:rPr>
          <w:rFonts w:ascii="Times New Roman" w:hAnsi="Times New Roman" w:cs="Times New Roman"/>
          <w:b/>
          <w:bCs/>
        </w:rPr>
      </w:pPr>
    </w:p>
    <w:p w14:paraId="6C42E804" w14:textId="20092EAE" w:rsidR="00FF26F7" w:rsidRDefault="00FF26F7" w:rsidP="00FF26F7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9F7DC6">
        <w:rPr>
          <w:rFonts w:ascii="Times New Roman" w:hAnsi="Times New Roman" w:cs="Times New Roman"/>
          <w:i/>
          <w:iCs/>
        </w:rPr>
        <w:t>Ideas</w:t>
      </w:r>
      <w:r>
        <w:rPr>
          <w:rFonts w:ascii="Times New Roman" w:hAnsi="Times New Roman" w:cs="Times New Roman"/>
        </w:rPr>
        <w:t xml:space="preserve"> I: Starting with the natural attitude, the world of the natural attitude, and the first-person point of view</w:t>
      </w:r>
    </w:p>
    <w:p w14:paraId="1B507AD1" w14:textId="6B1D00AF" w:rsidR="00FF26F7" w:rsidRDefault="00FF26F7" w:rsidP="00FF26F7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Influence of Descartes, </w:t>
      </w:r>
      <w:proofErr w:type="spellStart"/>
      <w:r>
        <w:rPr>
          <w:rFonts w:ascii="Times New Roman" w:hAnsi="Times New Roman" w:cs="Times New Roman"/>
        </w:rPr>
        <w:t>Avenarius</w:t>
      </w:r>
      <w:proofErr w:type="spellEnd"/>
      <w:r>
        <w:rPr>
          <w:rFonts w:ascii="Times New Roman" w:hAnsi="Times New Roman" w:cs="Times New Roman"/>
        </w:rPr>
        <w:t xml:space="preserve">, and </w:t>
      </w:r>
      <w:proofErr w:type="spellStart"/>
      <w:r>
        <w:rPr>
          <w:rFonts w:ascii="Times New Roman" w:hAnsi="Times New Roman" w:cs="Times New Roman"/>
        </w:rPr>
        <w:t>Dilthey</w:t>
      </w:r>
      <w:proofErr w:type="spellEnd"/>
    </w:p>
    <w:p w14:paraId="52B02C97" w14:textId="11823194" w:rsidR="00FF26F7" w:rsidRDefault="00FF26F7" w:rsidP="00FF26F7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natural attitude: phenomenology seeks not to reaffirm it (realism), doubt it (skepticism), or deny it (idealism), but to seek the conditions of its possibility. Critique</w:t>
      </w:r>
    </w:p>
    <w:p w14:paraId="4AB4B702" w14:textId="303DE4AF" w:rsidR="00FF26F7" w:rsidRDefault="00FF26F7" w:rsidP="00FF26F7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This points to the influence of Kant</w:t>
      </w:r>
    </w:p>
    <w:p w14:paraId="517AD2F5" w14:textId="6DCAD76E" w:rsidR="00FF26F7" w:rsidRDefault="00FF26F7" w:rsidP="00FF26F7">
      <w:pPr>
        <w:rPr>
          <w:rFonts w:ascii="Times New Roman" w:hAnsi="Times New Roman" w:cs="Times New Roman"/>
        </w:rPr>
      </w:pPr>
    </w:p>
    <w:p w14:paraId="19B77719" w14:textId="07734B05" w:rsidR="00FF26F7" w:rsidRDefault="00FF26F7" w:rsidP="00FF26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Kant and the Project of Transcendental Critique</w:t>
      </w:r>
    </w:p>
    <w:p w14:paraId="6D11C4B9" w14:textId="3AE1BB38" w:rsidR="00DA08B4" w:rsidRDefault="00DA08B4" w:rsidP="00DA08B4">
      <w:pPr>
        <w:rPr>
          <w:rFonts w:ascii="Times New Roman" w:hAnsi="Times New Roman" w:cs="Times New Roman"/>
          <w:b/>
          <w:bCs/>
        </w:rPr>
      </w:pPr>
    </w:p>
    <w:p w14:paraId="4BBF16C1" w14:textId="7B54339D" w:rsidR="00DA08B4" w:rsidRDefault="00DA08B4" w:rsidP="00DA08B4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DA08B4">
        <w:rPr>
          <w:rFonts w:ascii="Times New Roman" w:hAnsi="Times New Roman" w:cs="Times New Roman"/>
        </w:rPr>
        <w:t>The “common understanding” (</w:t>
      </w:r>
      <w:proofErr w:type="spellStart"/>
      <w:r w:rsidRPr="00DA08B4">
        <w:rPr>
          <w:rFonts w:ascii="Times New Roman" w:hAnsi="Times New Roman" w:cs="Times New Roman"/>
          <w:i/>
          <w:iCs/>
        </w:rPr>
        <w:t>gemeiner</w:t>
      </w:r>
      <w:proofErr w:type="spellEnd"/>
      <w:r w:rsidRPr="00DA08B4">
        <w:rPr>
          <w:rFonts w:ascii="Times New Roman" w:hAnsi="Times New Roman" w:cs="Times New Roman"/>
          <w:i/>
          <w:iCs/>
        </w:rPr>
        <w:t xml:space="preserve"> Verstand)</w:t>
      </w:r>
      <w:r w:rsidRPr="00DA08B4">
        <w:rPr>
          <w:rFonts w:ascii="Times New Roman" w:hAnsi="Times New Roman" w:cs="Times New Roman"/>
        </w:rPr>
        <w:t xml:space="preserve"> as Kant’s natural attitude; “nature” as Kant’s “world of the natural attitude.”</w:t>
      </w:r>
    </w:p>
    <w:p w14:paraId="2D46D80B" w14:textId="77777777" w:rsidR="00DA08B4" w:rsidRDefault="00DA08B4" w:rsidP="00DA08B4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Kant’s approach to the common understanding and its world is not to reaffirm them, doubt them, or deny them, but to ask: how are they possible?</w:t>
      </w:r>
    </w:p>
    <w:p w14:paraId="39FD4AE6" w14:textId="77777777" w:rsidR="00DA08B4" w:rsidRDefault="00DA08B4" w:rsidP="00DA08B4">
      <w:pPr>
        <w:rPr>
          <w:rFonts w:ascii="Times New Roman" w:hAnsi="Times New Roman" w:cs="Times New Roman"/>
        </w:rPr>
      </w:pPr>
    </w:p>
    <w:p w14:paraId="684D08D7" w14:textId="744461EF" w:rsidR="00DA08B4" w:rsidRDefault="00DA08B4" w:rsidP="00DA08B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 w:rsidRPr="009F7DC6">
        <w:rPr>
          <w:rFonts w:ascii="Times New Roman" w:hAnsi="Times New Roman" w:cs="Times New Roman"/>
          <w:b/>
          <w:bCs/>
        </w:rPr>
        <w:t xml:space="preserve">From the Natural Attitude to the Lifeworld </w:t>
      </w:r>
    </w:p>
    <w:p w14:paraId="7E6DF43F" w14:textId="38BFFC12" w:rsidR="009F7DC6" w:rsidRDefault="009F7DC6" w:rsidP="009F7DC6">
      <w:pPr>
        <w:rPr>
          <w:rFonts w:ascii="Times New Roman" w:hAnsi="Times New Roman" w:cs="Times New Roman"/>
          <w:b/>
          <w:bCs/>
        </w:rPr>
      </w:pPr>
    </w:p>
    <w:p w14:paraId="3836227F" w14:textId="3ACF18C3" w:rsidR="009F7DC6" w:rsidRDefault="009F7DC6" w:rsidP="009F7DC6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9F7DC6">
        <w:rPr>
          <w:rFonts w:ascii="Times New Roman" w:hAnsi="Times New Roman" w:cs="Times New Roman"/>
          <w:i/>
          <w:iCs/>
        </w:rPr>
        <w:t>Ideas</w:t>
      </w:r>
      <w:r>
        <w:rPr>
          <w:rFonts w:ascii="Times New Roman" w:hAnsi="Times New Roman" w:cs="Times New Roman"/>
        </w:rPr>
        <w:t xml:space="preserve"> I and beyond: </w:t>
      </w:r>
      <w:r w:rsidRPr="009F7DC6">
        <w:rPr>
          <w:rFonts w:ascii="Times New Roman" w:hAnsi="Times New Roman" w:cs="Times New Roman"/>
          <w:i/>
          <w:iCs/>
        </w:rPr>
        <w:t xml:space="preserve">Ideas </w:t>
      </w:r>
      <w:r>
        <w:rPr>
          <w:rFonts w:ascii="Times New Roman" w:hAnsi="Times New Roman" w:cs="Times New Roman"/>
        </w:rPr>
        <w:t>II and the human world</w:t>
      </w:r>
    </w:p>
    <w:p w14:paraId="35F5D3D2" w14:textId="35B6E1BD" w:rsidR="009F7DC6" w:rsidRDefault="009F7DC6" w:rsidP="009F7DC6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lifeworld in the </w:t>
      </w:r>
      <w:r w:rsidRPr="009F7DC6">
        <w:rPr>
          <w:rFonts w:ascii="Times New Roman" w:hAnsi="Times New Roman" w:cs="Times New Roman"/>
          <w:i/>
          <w:iCs/>
        </w:rPr>
        <w:t>Crisis</w:t>
      </w:r>
      <w:r>
        <w:rPr>
          <w:rFonts w:ascii="Times New Roman" w:hAnsi="Times New Roman" w:cs="Times New Roman"/>
          <w:i/>
          <w:iCs/>
        </w:rPr>
        <w:t xml:space="preserve">: </w:t>
      </w:r>
      <w:r>
        <w:rPr>
          <w:rFonts w:ascii="Times New Roman" w:hAnsi="Times New Roman" w:cs="Times New Roman"/>
        </w:rPr>
        <w:t>two functions, liberation from “</w:t>
      </w:r>
      <w:proofErr w:type="spellStart"/>
      <w:r>
        <w:rPr>
          <w:rFonts w:ascii="Times New Roman" w:hAnsi="Times New Roman" w:cs="Times New Roman"/>
        </w:rPr>
        <w:t>physicalistic</w:t>
      </w:r>
      <w:proofErr w:type="spellEnd"/>
      <w:r>
        <w:rPr>
          <w:rFonts w:ascii="Times New Roman" w:hAnsi="Times New Roman" w:cs="Times New Roman"/>
        </w:rPr>
        <w:t xml:space="preserve"> objectivism” and introduction of the phenomenological method</w:t>
      </w:r>
    </w:p>
    <w:p w14:paraId="40484676" w14:textId="4B287C69" w:rsidR="009F7DC6" w:rsidRDefault="009F7DC6" w:rsidP="009F7DC6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does the method do to the lifeworld? Again: not reinforce, doubt or deny it, but seek the conditions of its possibility (</w:t>
      </w:r>
      <w:proofErr w:type="spellStart"/>
      <w:r w:rsidRPr="009F7DC6">
        <w:rPr>
          <w:rFonts w:ascii="Times New Roman" w:hAnsi="Times New Roman" w:cs="Times New Roman"/>
          <w:i/>
          <w:iCs/>
        </w:rPr>
        <w:t>Rückfrage</w:t>
      </w:r>
      <w:proofErr w:type="spellEnd"/>
      <w:r>
        <w:rPr>
          <w:rFonts w:ascii="Times New Roman" w:hAnsi="Times New Roman" w:cs="Times New Roman"/>
        </w:rPr>
        <w:t>)</w:t>
      </w:r>
    </w:p>
    <w:p w14:paraId="6B39B1F1" w14:textId="5EE1521F" w:rsidR="008358DC" w:rsidRDefault="008358DC" w:rsidP="008358DC">
      <w:pPr>
        <w:rPr>
          <w:rFonts w:ascii="Times New Roman" w:hAnsi="Times New Roman" w:cs="Times New Roman"/>
        </w:rPr>
      </w:pPr>
    </w:p>
    <w:p w14:paraId="7134DAE8" w14:textId="6BE40D3A" w:rsidR="008358DC" w:rsidRDefault="00D903A3" w:rsidP="00D903A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Kant: From Critique of Experience to Critique of Practice</w:t>
      </w:r>
    </w:p>
    <w:p w14:paraId="26DC63AE" w14:textId="0BF2DE8C" w:rsidR="00D903A3" w:rsidRDefault="00D903A3" w:rsidP="00D903A3">
      <w:pPr>
        <w:rPr>
          <w:rFonts w:ascii="Times New Roman" w:hAnsi="Times New Roman" w:cs="Times New Roman"/>
          <w:b/>
          <w:bCs/>
        </w:rPr>
      </w:pPr>
    </w:p>
    <w:p w14:paraId="7F505096" w14:textId="2AD2FC3B" w:rsidR="00D903A3" w:rsidRPr="00D903A3" w:rsidRDefault="00D903A3" w:rsidP="00D903A3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the First </w:t>
      </w:r>
      <w:r w:rsidRPr="00D903A3">
        <w:rPr>
          <w:rFonts w:ascii="Times New Roman" w:hAnsi="Times New Roman" w:cs="Times New Roman"/>
          <w:i/>
          <w:iCs/>
        </w:rPr>
        <w:t>Critique</w:t>
      </w:r>
      <w:r>
        <w:rPr>
          <w:rFonts w:ascii="Times New Roman" w:hAnsi="Times New Roman" w:cs="Times New Roman"/>
        </w:rPr>
        <w:t xml:space="preserve"> to the </w:t>
      </w:r>
      <w:proofErr w:type="spellStart"/>
      <w:r w:rsidRPr="00D903A3">
        <w:rPr>
          <w:rFonts w:ascii="Times New Roman" w:hAnsi="Times New Roman" w:cs="Times New Roman"/>
          <w:i/>
          <w:iCs/>
        </w:rPr>
        <w:t>Grundlegung</w:t>
      </w:r>
      <w:proofErr w:type="spellEnd"/>
    </w:p>
    <w:p w14:paraId="7B231F13" w14:textId="329F9A01" w:rsidR="00D903A3" w:rsidRDefault="00D903A3" w:rsidP="00D903A3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Starting point: “ordinary rational knowledge of morality”</w:t>
      </w:r>
    </w:p>
    <w:p w14:paraId="2FE3E1A5" w14:textId="796083A4" w:rsidR="00D903A3" w:rsidRDefault="00D903A3" w:rsidP="00D903A3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conditions of its possibility: The freedom of the moral agent, and the community of moral agents</w:t>
      </w:r>
    </w:p>
    <w:p w14:paraId="06A711B9" w14:textId="58CD0678" w:rsidR="00D903A3" w:rsidRDefault="00D903A3" w:rsidP="00D903A3">
      <w:pPr>
        <w:rPr>
          <w:rFonts w:ascii="Times New Roman" w:hAnsi="Times New Roman" w:cs="Times New Roman"/>
        </w:rPr>
      </w:pPr>
    </w:p>
    <w:p w14:paraId="4C7E1544" w14:textId="0F3F4129" w:rsidR="00D903A3" w:rsidRDefault="00D903A3" w:rsidP="00D903A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The Lifeworld as Practical World</w:t>
      </w:r>
    </w:p>
    <w:p w14:paraId="08B36EB5" w14:textId="38DAE0C7" w:rsidR="00D903A3" w:rsidRDefault="00D903A3" w:rsidP="00D903A3">
      <w:pPr>
        <w:rPr>
          <w:rFonts w:ascii="Times New Roman" w:hAnsi="Times New Roman" w:cs="Times New Roman"/>
          <w:b/>
          <w:bCs/>
        </w:rPr>
      </w:pPr>
    </w:p>
    <w:p w14:paraId="3FEE010B" w14:textId="3829501C" w:rsidR="00D903A3" w:rsidRDefault="00D903A3" w:rsidP="00D903A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lifeworld includes nature, but it is primarily and human and practical world</w:t>
      </w:r>
    </w:p>
    <w:p w14:paraId="23F30635" w14:textId="45EAF4AB" w:rsidR="00D903A3" w:rsidRDefault="00D903A3" w:rsidP="00D903A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principal conditions of its possibility are subjectivity and freedom</w:t>
      </w:r>
    </w:p>
    <w:p w14:paraId="61B92560" w14:textId="59C70DBD" w:rsidR="00D903A3" w:rsidRDefault="00D903A3" w:rsidP="00D903A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Husserl avoids some of Kant’s problems by </w:t>
      </w:r>
      <w:r w:rsidR="003F5D5A">
        <w:rPr>
          <w:rFonts w:ascii="Times New Roman" w:hAnsi="Times New Roman" w:cs="Times New Roman"/>
        </w:rPr>
        <w:t>denying the distinction between the natural and the intelligible worlds, and by accepting the possibility of self-knowledge</w:t>
      </w:r>
    </w:p>
    <w:p w14:paraId="4466DF5B" w14:textId="31694448" w:rsidR="003F5D5A" w:rsidRDefault="003F5D5A" w:rsidP="00D903A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problem with “empathy”</w:t>
      </w:r>
    </w:p>
    <w:p w14:paraId="2E6D4783" w14:textId="31A5AE2B" w:rsidR="003F5D5A" w:rsidRDefault="003F5D5A" w:rsidP="003F5D5A">
      <w:pPr>
        <w:rPr>
          <w:rFonts w:ascii="Times New Roman" w:hAnsi="Times New Roman" w:cs="Times New Roman"/>
        </w:rPr>
      </w:pPr>
    </w:p>
    <w:p w14:paraId="3C177B51" w14:textId="68CF5BD5" w:rsidR="003F5D5A" w:rsidRDefault="003F5D5A" w:rsidP="003F5D5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Conclusion: The Turn to History</w:t>
      </w:r>
    </w:p>
    <w:p w14:paraId="7602F017" w14:textId="05854F3B" w:rsidR="003F5D5A" w:rsidRDefault="003F5D5A" w:rsidP="003F5D5A">
      <w:pPr>
        <w:rPr>
          <w:rFonts w:ascii="Times New Roman" w:hAnsi="Times New Roman" w:cs="Times New Roman"/>
          <w:b/>
          <w:bCs/>
        </w:rPr>
      </w:pPr>
    </w:p>
    <w:p w14:paraId="663D3FEE" w14:textId="0C7475AD" w:rsidR="003F5D5A" w:rsidRDefault="003F5D5A" w:rsidP="003F5D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problem with “our moral and practical experience:” whose?</w:t>
      </w:r>
    </w:p>
    <w:p w14:paraId="6AD31E2D" w14:textId="4CBDB807" w:rsidR="003F5D5A" w:rsidRDefault="003F5D5A" w:rsidP="003F5D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the lifeworld universal and unchanging?</w:t>
      </w:r>
    </w:p>
    <w:p w14:paraId="2549B697" w14:textId="097FBCAA" w:rsidR="003F5D5A" w:rsidRDefault="003F5D5A" w:rsidP="003F5D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concept of “flowing in” (</w:t>
      </w:r>
      <w:proofErr w:type="spellStart"/>
      <w:r w:rsidRPr="003F5D5A">
        <w:rPr>
          <w:rFonts w:ascii="Times New Roman" w:hAnsi="Times New Roman" w:cs="Times New Roman"/>
          <w:i/>
          <w:iCs/>
        </w:rPr>
        <w:t>einströmen</w:t>
      </w:r>
      <w:proofErr w:type="spellEnd"/>
      <w:r>
        <w:rPr>
          <w:rFonts w:ascii="Times New Roman" w:hAnsi="Times New Roman" w:cs="Times New Roman"/>
        </w:rPr>
        <w:t>)</w:t>
      </w:r>
    </w:p>
    <w:p w14:paraId="04758B5F" w14:textId="131BAC8C" w:rsidR="003F5D5A" w:rsidRPr="003F5D5A" w:rsidRDefault="003F5D5A" w:rsidP="003F5D5A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historicity of the lifeworld must be taken into account</w:t>
      </w:r>
    </w:p>
    <w:p w14:paraId="331F4548" w14:textId="1AC78D55" w:rsidR="00FF26F7" w:rsidRPr="00DA08B4" w:rsidRDefault="00FF26F7" w:rsidP="00FF26F7">
      <w:pPr>
        <w:rPr>
          <w:rFonts w:ascii="Times New Roman" w:hAnsi="Times New Roman" w:cs="Times New Roman"/>
          <w:b/>
          <w:bCs/>
          <w:i/>
          <w:iCs/>
        </w:rPr>
      </w:pPr>
    </w:p>
    <w:p w14:paraId="7485AE4C" w14:textId="10DB011C" w:rsidR="00FF26F7" w:rsidRPr="00FF26F7" w:rsidRDefault="00FF26F7" w:rsidP="00FF26F7">
      <w:pPr>
        <w:rPr>
          <w:rFonts w:ascii="Times New Roman" w:hAnsi="Times New Roman" w:cs="Times New Roman"/>
        </w:rPr>
      </w:pPr>
    </w:p>
    <w:p w14:paraId="39AF7B68" w14:textId="50D61549" w:rsidR="007112DE" w:rsidRDefault="007112DE" w:rsidP="007112DE">
      <w:pPr>
        <w:rPr>
          <w:rFonts w:ascii="Times New Roman" w:hAnsi="Times New Roman" w:cs="Times New Roman"/>
        </w:rPr>
      </w:pPr>
    </w:p>
    <w:p w14:paraId="3FFB6BBC" w14:textId="30CF0501" w:rsidR="007112DE" w:rsidRPr="007112DE" w:rsidRDefault="007112DE" w:rsidP="007112DE">
      <w:pPr>
        <w:spacing w:line="480" w:lineRule="auto"/>
        <w:rPr>
          <w:rFonts w:ascii="Times New Roman" w:hAnsi="Times New Roman" w:cs="Times New Roman"/>
        </w:rPr>
      </w:pPr>
    </w:p>
    <w:p w14:paraId="00D8CAB6" w14:textId="17E5694F" w:rsidR="007112DE" w:rsidRPr="007112DE" w:rsidRDefault="007112DE">
      <w:pPr>
        <w:rPr>
          <w:rFonts w:ascii="Times New Roman" w:hAnsi="Times New Roman" w:cs="Times New Roman"/>
          <w:b/>
          <w:bCs/>
        </w:rPr>
      </w:pPr>
    </w:p>
    <w:p w14:paraId="5705B039" w14:textId="77777777" w:rsidR="007112DE" w:rsidRPr="007112DE" w:rsidRDefault="007112DE">
      <w:pPr>
        <w:rPr>
          <w:rFonts w:ascii="Times New Roman" w:hAnsi="Times New Roman" w:cs="Times New Roman"/>
        </w:rPr>
      </w:pPr>
    </w:p>
    <w:sectPr w:rsidR="007112DE" w:rsidRPr="007112DE" w:rsidSect="001E4B62">
      <w:headerReference w:type="even" r:id="rId7"/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FBDB5F" w14:textId="77777777" w:rsidR="004C33FE" w:rsidRDefault="004C33FE" w:rsidP="00FD123D">
      <w:r>
        <w:separator/>
      </w:r>
    </w:p>
  </w:endnote>
  <w:endnote w:type="continuationSeparator" w:id="0">
    <w:p w14:paraId="67F7CC2F" w14:textId="77777777" w:rsidR="004C33FE" w:rsidRDefault="004C33FE" w:rsidP="00FD1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E5A51A" w14:textId="77777777" w:rsidR="004C33FE" w:rsidRDefault="004C33FE" w:rsidP="00FD123D">
      <w:r>
        <w:separator/>
      </w:r>
    </w:p>
  </w:footnote>
  <w:footnote w:type="continuationSeparator" w:id="0">
    <w:p w14:paraId="3B1F9845" w14:textId="77777777" w:rsidR="004C33FE" w:rsidRDefault="004C33FE" w:rsidP="00FD12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478761493"/>
      <w:docPartObj>
        <w:docPartGallery w:val="Page Numbers (Top of Page)"/>
        <w:docPartUnique/>
      </w:docPartObj>
    </w:sdtPr>
    <w:sdtContent>
      <w:p w14:paraId="2E60E393" w14:textId="6F057FE8" w:rsidR="00FD123D" w:rsidRDefault="00FD123D" w:rsidP="00660EAA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6622636" w14:textId="77777777" w:rsidR="00FD123D" w:rsidRDefault="00FD123D" w:rsidP="00FD123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50042717"/>
      <w:docPartObj>
        <w:docPartGallery w:val="Page Numbers (Top of Page)"/>
        <w:docPartUnique/>
      </w:docPartObj>
    </w:sdtPr>
    <w:sdtContent>
      <w:p w14:paraId="0E55F220" w14:textId="7A244E36" w:rsidR="00FD123D" w:rsidRDefault="00FD123D" w:rsidP="00660EAA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0D10913" w14:textId="77777777" w:rsidR="00FD123D" w:rsidRDefault="00FD123D" w:rsidP="00FD123D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4D2E27"/>
    <w:multiLevelType w:val="hybridMultilevel"/>
    <w:tmpl w:val="5652F9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4E1174"/>
    <w:multiLevelType w:val="hybridMultilevel"/>
    <w:tmpl w:val="5C2469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477F16"/>
    <w:multiLevelType w:val="hybridMultilevel"/>
    <w:tmpl w:val="A2D090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8A4454"/>
    <w:multiLevelType w:val="hybridMultilevel"/>
    <w:tmpl w:val="1CA2E3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067D22"/>
    <w:multiLevelType w:val="hybridMultilevel"/>
    <w:tmpl w:val="20EEB35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9861C0"/>
    <w:multiLevelType w:val="hybridMultilevel"/>
    <w:tmpl w:val="8B5254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4678B4"/>
    <w:multiLevelType w:val="hybridMultilevel"/>
    <w:tmpl w:val="A76697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C343C5"/>
    <w:multiLevelType w:val="hybridMultilevel"/>
    <w:tmpl w:val="2D5C76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EF2A80"/>
    <w:multiLevelType w:val="hybridMultilevel"/>
    <w:tmpl w:val="395E4BD8"/>
    <w:lvl w:ilvl="0" w:tplc="5590F2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702EAE"/>
    <w:multiLevelType w:val="hybridMultilevel"/>
    <w:tmpl w:val="ACC0B7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3522C5"/>
    <w:multiLevelType w:val="hybridMultilevel"/>
    <w:tmpl w:val="765C1F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8"/>
  </w:num>
  <w:num w:numId="7">
    <w:abstractNumId w:val="9"/>
  </w:num>
  <w:num w:numId="8">
    <w:abstractNumId w:val="2"/>
  </w:num>
  <w:num w:numId="9">
    <w:abstractNumId w:val="7"/>
  </w:num>
  <w:num w:numId="10">
    <w:abstractNumId w:val="5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DE"/>
    <w:rsid w:val="00042F2E"/>
    <w:rsid w:val="001E4B62"/>
    <w:rsid w:val="003F5D5A"/>
    <w:rsid w:val="004C33FE"/>
    <w:rsid w:val="007112DE"/>
    <w:rsid w:val="008358DC"/>
    <w:rsid w:val="009F7DC6"/>
    <w:rsid w:val="00A81FD0"/>
    <w:rsid w:val="00C650AA"/>
    <w:rsid w:val="00D903A3"/>
    <w:rsid w:val="00DA08B4"/>
    <w:rsid w:val="00FD123D"/>
    <w:rsid w:val="00FF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706AA7"/>
  <w15:chartTrackingRefBased/>
  <w15:docId w15:val="{4CFD2FC2-8B63-B748-917B-230BF308E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12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12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123D"/>
  </w:style>
  <w:style w:type="character" w:styleId="PageNumber">
    <w:name w:val="page number"/>
    <w:basedOn w:val="DefaultParagraphFont"/>
    <w:uiPriority w:val="99"/>
    <w:semiHidden/>
    <w:unhideWhenUsed/>
    <w:rsid w:val="00FD12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CARR</dc:creator>
  <cp:keywords/>
  <dc:description/>
  <cp:lastModifiedBy>DAVID CARR</cp:lastModifiedBy>
  <cp:revision>1</cp:revision>
  <dcterms:created xsi:type="dcterms:W3CDTF">2020-10-08T14:48:00Z</dcterms:created>
  <dcterms:modified xsi:type="dcterms:W3CDTF">2020-10-08T18:20:00Z</dcterms:modified>
</cp:coreProperties>
</file>